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42" w:rsidRDefault="00073842" w:rsidP="00073842">
      <w:pPr>
        <w:spacing w:after="0"/>
        <w:rPr>
          <w:b/>
          <w:sz w:val="32"/>
          <w:szCs w:val="32"/>
        </w:rPr>
      </w:pPr>
    </w:p>
    <w:p w:rsidR="00073842" w:rsidRDefault="00073842" w:rsidP="00073842">
      <w:pPr>
        <w:spacing w:after="0"/>
        <w:rPr>
          <w:b/>
          <w:sz w:val="32"/>
          <w:szCs w:val="32"/>
        </w:rPr>
      </w:pPr>
    </w:p>
    <w:p w:rsidR="00EF783A" w:rsidRPr="00073842" w:rsidRDefault="00EF783A" w:rsidP="00693933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073842">
        <w:rPr>
          <w:b/>
          <w:color w:val="365F91" w:themeColor="accent1" w:themeShade="BF"/>
          <w:sz w:val="32"/>
          <w:szCs w:val="32"/>
        </w:rPr>
        <w:t>Inform</w:t>
      </w:r>
      <w:r w:rsidR="00CD3ABF" w:rsidRPr="00073842">
        <w:rPr>
          <w:b/>
          <w:color w:val="365F91" w:themeColor="accent1" w:themeShade="BF"/>
          <w:sz w:val="32"/>
          <w:szCs w:val="32"/>
        </w:rPr>
        <w:t>acja nt. opłat za świadczenia</w:t>
      </w:r>
      <w:r w:rsidR="00693933">
        <w:rPr>
          <w:b/>
          <w:color w:val="365F91" w:themeColor="accent1" w:themeShade="BF"/>
          <w:sz w:val="32"/>
          <w:szCs w:val="32"/>
        </w:rPr>
        <w:t xml:space="preserve"> w ODL</w:t>
      </w:r>
    </w:p>
    <w:p w:rsidR="00A42F9A" w:rsidRPr="00073842" w:rsidRDefault="00CD3ABF" w:rsidP="00693933">
      <w:pPr>
        <w:spacing w:after="360"/>
        <w:jc w:val="center"/>
        <w:rPr>
          <w:b/>
          <w:color w:val="365F91" w:themeColor="accent1" w:themeShade="BF"/>
          <w:sz w:val="32"/>
          <w:szCs w:val="32"/>
        </w:rPr>
      </w:pPr>
      <w:r w:rsidRPr="00073842">
        <w:rPr>
          <w:b/>
          <w:color w:val="365F91" w:themeColor="accent1" w:themeShade="BF"/>
          <w:sz w:val="32"/>
          <w:szCs w:val="32"/>
        </w:rPr>
        <w:t xml:space="preserve">i </w:t>
      </w:r>
      <w:r w:rsidR="00EF783A" w:rsidRPr="00073842">
        <w:rPr>
          <w:b/>
          <w:color w:val="365F91" w:themeColor="accent1" w:themeShade="BF"/>
          <w:sz w:val="32"/>
          <w:szCs w:val="32"/>
        </w:rPr>
        <w:t>udostępnianie dokumentacji medycznej</w:t>
      </w:r>
    </w:p>
    <w:p w:rsidR="00A42F9A" w:rsidRPr="00073842" w:rsidRDefault="00EF783A" w:rsidP="00693933">
      <w:pPr>
        <w:pStyle w:val="NormalnyWeb"/>
        <w:numPr>
          <w:ilvl w:val="0"/>
          <w:numId w:val="3"/>
        </w:numPr>
        <w:spacing w:before="0" w:beforeAutospacing="0" w:after="0" w:afterAutospacing="0"/>
        <w:ind w:left="340" w:hanging="357"/>
        <w:jc w:val="both"/>
        <w:rPr>
          <w:rFonts w:asciiTheme="minorHAnsi" w:hAnsiTheme="minorHAnsi" w:cstheme="minorHAnsi"/>
          <w:b/>
          <w:bCs/>
          <w:color w:val="365F91" w:themeColor="accent1" w:themeShade="BF"/>
          <w:u w:val="single"/>
        </w:rPr>
      </w:pPr>
      <w:r w:rsidRPr="00073842">
        <w:rPr>
          <w:rFonts w:asciiTheme="minorHAnsi" w:hAnsiTheme="minorHAnsi" w:cstheme="minorHAnsi"/>
          <w:b/>
          <w:bCs/>
          <w:color w:val="365F91" w:themeColor="accent1" w:themeShade="BF"/>
          <w:u w:val="single"/>
        </w:rPr>
        <w:t xml:space="preserve">Odpłatność za pobyt </w:t>
      </w:r>
      <w:r w:rsidR="00A42F9A" w:rsidRPr="00073842">
        <w:rPr>
          <w:rFonts w:asciiTheme="minorHAnsi" w:hAnsiTheme="minorHAnsi" w:cstheme="minorHAnsi"/>
          <w:b/>
          <w:bCs/>
          <w:color w:val="365F91" w:themeColor="accent1" w:themeShade="BF"/>
          <w:u w:val="single"/>
        </w:rPr>
        <w:t xml:space="preserve"> w Zakładzie Opiekuńczo -Leczniczym:</w:t>
      </w:r>
    </w:p>
    <w:p w:rsidR="00A42F9A" w:rsidRDefault="00A42F9A" w:rsidP="00693933">
      <w:pPr>
        <w:pStyle w:val="NormalnyWeb"/>
        <w:spacing w:before="0" w:beforeAutospacing="0" w:after="120" w:afterAutospacing="0"/>
        <w:ind w:left="340"/>
        <w:jc w:val="both"/>
        <w:rPr>
          <w:rFonts w:asciiTheme="minorHAnsi" w:hAnsiTheme="minorHAnsi" w:cstheme="minorHAnsi"/>
          <w:color w:val="365F91" w:themeColor="accent1" w:themeShade="BF"/>
        </w:rPr>
      </w:pPr>
      <w:r w:rsidRPr="00073842">
        <w:rPr>
          <w:rFonts w:asciiTheme="minorHAnsi" w:hAnsiTheme="minorHAnsi" w:cstheme="minorHAnsi"/>
          <w:color w:val="365F91" w:themeColor="accent1" w:themeShade="BF"/>
        </w:rPr>
        <w:t xml:space="preserve">Pacjent w ZOL ponosi koszty wyżywienia i zakwaterowania. Miesięczną opłatę ustala się w wysokości odpowiadającej 250 % najniższej emerytury, z tym, że opłata </w:t>
      </w:r>
      <w:r w:rsidR="00EF783A" w:rsidRPr="00073842">
        <w:rPr>
          <w:rFonts w:asciiTheme="minorHAnsi" w:hAnsiTheme="minorHAnsi" w:cstheme="minorHAnsi"/>
          <w:color w:val="365F91" w:themeColor="accent1" w:themeShade="BF"/>
        </w:rPr>
        <w:t xml:space="preserve">ta </w:t>
      </w:r>
      <w:r w:rsidRPr="00073842">
        <w:rPr>
          <w:rFonts w:asciiTheme="minorHAnsi" w:hAnsiTheme="minorHAnsi" w:cstheme="minorHAnsi"/>
          <w:color w:val="365F91" w:themeColor="accent1" w:themeShade="BF"/>
        </w:rPr>
        <w:t>nie może być wyższa niż kwota odpowiadająca 70% miesięcznego dochodu pacjenta.</w:t>
      </w:r>
    </w:p>
    <w:p w:rsidR="00693933" w:rsidRDefault="00693933" w:rsidP="00693933">
      <w:pPr>
        <w:pStyle w:val="NormalnyWeb"/>
        <w:spacing w:before="0" w:beforeAutospacing="0" w:after="120" w:afterAutospacing="0"/>
        <w:ind w:left="340"/>
        <w:jc w:val="both"/>
        <w:rPr>
          <w:rFonts w:asciiTheme="minorHAnsi" w:hAnsiTheme="minorHAnsi" w:cstheme="minorHAnsi"/>
          <w:color w:val="365F91" w:themeColor="accent1" w:themeShade="BF"/>
        </w:rPr>
      </w:pPr>
    </w:p>
    <w:p w:rsidR="00EF783A" w:rsidRPr="00073842" w:rsidRDefault="00EF783A" w:rsidP="00693933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color w:val="365F91" w:themeColor="accent1" w:themeShade="BF"/>
          <w:u w:val="single"/>
        </w:rPr>
      </w:pPr>
      <w:r w:rsidRPr="00073842">
        <w:rPr>
          <w:rFonts w:asciiTheme="minorHAnsi" w:hAnsiTheme="minorHAnsi" w:cstheme="minorHAnsi"/>
          <w:b/>
          <w:color w:val="365F91" w:themeColor="accent1" w:themeShade="BF"/>
          <w:u w:val="single"/>
        </w:rPr>
        <w:t>Odpłatność za pobyt w Hospicjum Stacjonarnym:</w:t>
      </w:r>
    </w:p>
    <w:p w:rsidR="00EF783A" w:rsidRDefault="00EF783A" w:rsidP="00693933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365F91" w:themeColor="accent1" w:themeShade="BF"/>
        </w:rPr>
      </w:pPr>
      <w:r w:rsidRPr="00073842">
        <w:rPr>
          <w:rFonts w:asciiTheme="minorHAnsi" w:hAnsiTheme="minorHAnsi" w:cstheme="minorHAnsi"/>
          <w:color w:val="365F91" w:themeColor="accent1" w:themeShade="BF"/>
        </w:rPr>
        <w:t>Koszty pobytu pacjenta w Hospicjum Stacjonarnym są w całości pokrywane ze środków NFZ.</w:t>
      </w:r>
    </w:p>
    <w:p w:rsidR="00693933" w:rsidRPr="00073842" w:rsidRDefault="00693933" w:rsidP="00693933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365F91" w:themeColor="accent1" w:themeShade="BF"/>
        </w:rPr>
      </w:pPr>
    </w:p>
    <w:p w:rsidR="00EF783A" w:rsidRPr="00073842" w:rsidRDefault="00EF783A" w:rsidP="00693933">
      <w:pPr>
        <w:pStyle w:val="Akapitzlist"/>
        <w:numPr>
          <w:ilvl w:val="0"/>
          <w:numId w:val="3"/>
        </w:numPr>
        <w:spacing w:before="120" w:after="0" w:line="240" w:lineRule="auto"/>
        <w:ind w:left="334" w:hanging="357"/>
        <w:jc w:val="both"/>
        <w:outlineLvl w:val="3"/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eastAsia="pl-PL"/>
        </w:rPr>
      </w:pPr>
      <w:r w:rsidRPr="00073842">
        <w:rPr>
          <w:rFonts w:eastAsia="Times New Roman" w:cstheme="minorHAnsi"/>
          <w:b/>
          <w:bCs/>
          <w:color w:val="365F91" w:themeColor="accent1" w:themeShade="BF"/>
          <w:sz w:val="24"/>
          <w:szCs w:val="24"/>
          <w:u w:val="single"/>
          <w:lang w:eastAsia="pl-PL"/>
        </w:rPr>
        <w:t>Wysokość opłat za udzielane świadczenia zdrowotne inne niż finansowane ze środków publicznych:</w:t>
      </w:r>
    </w:p>
    <w:p w:rsidR="00A42F9A" w:rsidRDefault="00EF783A" w:rsidP="00693933">
      <w:pPr>
        <w:pStyle w:val="Akapitzlist"/>
        <w:spacing w:after="0" w:line="240" w:lineRule="auto"/>
        <w:ind w:left="340"/>
        <w:jc w:val="both"/>
        <w:rPr>
          <w:rFonts w:eastAsia="Times New Roman" w:cstheme="minorHAnsi"/>
          <w:color w:val="365F91" w:themeColor="accent1" w:themeShade="BF"/>
          <w:sz w:val="24"/>
          <w:szCs w:val="24"/>
          <w:lang w:eastAsia="pl-PL"/>
        </w:rPr>
      </w:pPr>
      <w:r w:rsidRPr="00073842">
        <w:rPr>
          <w:rFonts w:eastAsia="Times New Roman" w:cstheme="minorHAnsi"/>
          <w:color w:val="365F91" w:themeColor="accent1" w:themeShade="BF"/>
          <w:sz w:val="24"/>
          <w:szCs w:val="24"/>
          <w:lang w:eastAsia="pl-PL"/>
        </w:rPr>
        <w:t>Zakład nie udziela świadczeń zdrowotnych innych niż finansowane ze środków publicznych</w:t>
      </w:r>
      <w:r w:rsidR="00E40BB7" w:rsidRPr="00073842">
        <w:rPr>
          <w:rFonts w:eastAsia="Times New Roman" w:cstheme="minorHAnsi"/>
          <w:color w:val="365F91" w:themeColor="accent1" w:themeShade="BF"/>
          <w:sz w:val="24"/>
          <w:szCs w:val="24"/>
          <w:lang w:eastAsia="pl-PL"/>
        </w:rPr>
        <w:t>.</w:t>
      </w:r>
    </w:p>
    <w:p w:rsidR="00693933" w:rsidRPr="00073842" w:rsidRDefault="00693933" w:rsidP="00693933">
      <w:pPr>
        <w:pStyle w:val="Akapitzlist"/>
        <w:spacing w:after="0" w:line="240" w:lineRule="auto"/>
        <w:ind w:left="340"/>
        <w:jc w:val="both"/>
        <w:rPr>
          <w:rFonts w:eastAsia="Times New Roman" w:cstheme="minorHAnsi"/>
          <w:color w:val="365F91" w:themeColor="accent1" w:themeShade="BF"/>
          <w:sz w:val="24"/>
          <w:szCs w:val="24"/>
          <w:lang w:eastAsia="pl-PL"/>
        </w:rPr>
      </w:pPr>
    </w:p>
    <w:p w:rsidR="00E40BB7" w:rsidRPr="00073842" w:rsidRDefault="00CD3ABF" w:rsidP="00693933">
      <w:pPr>
        <w:pStyle w:val="NormalnyWeb"/>
        <w:numPr>
          <w:ilvl w:val="0"/>
          <w:numId w:val="2"/>
        </w:numPr>
        <w:ind w:left="360"/>
        <w:jc w:val="both"/>
        <w:rPr>
          <w:rStyle w:val="Uwydatnienie"/>
          <w:rFonts w:ascii="Calibri" w:hAnsi="Calibri"/>
          <w:b/>
          <w:i w:val="0"/>
          <w:iCs w:val="0"/>
          <w:color w:val="365F91" w:themeColor="accent1" w:themeShade="BF"/>
          <w:u w:val="single"/>
        </w:rPr>
      </w:pPr>
      <w:r w:rsidRPr="00073842">
        <w:rPr>
          <w:rStyle w:val="Uwydatnienie"/>
          <w:rFonts w:ascii="Calibri" w:hAnsi="Calibri"/>
          <w:b/>
          <w:i w:val="0"/>
          <w:color w:val="365F91" w:themeColor="accent1" w:themeShade="BF"/>
          <w:u w:val="single"/>
        </w:rPr>
        <w:t xml:space="preserve">Wysokość opłat </w:t>
      </w:r>
      <w:r w:rsidR="00E40BB7" w:rsidRPr="00073842">
        <w:rPr>
          <w:rStyle w:val="Uwydatnienie"/>
          <w:rFonts w:ascii="Calibri" w:hAnsi="Calibri"/>
          <w:b/>
          <w:i w:val="0"/>
          <w:color w:val="365F91" w:themeColor="accent1" w:themeShade="BF"/>
          <w:u w:val="single"/>
        </w:rPr>
        <w:t xml:space="preserve"> za udostępnienie dokumentacji medycznej:</w:t>
      </w:r>
      <w:r w:rsidR="00E40BB7" w:rsidRPr="00073842">
        <w:rPr>
          <w:rStyle w:val="Uwydatnienie"/>
          <w:rFonts w:ascii="Calibri" w:hAnsi="Calibri"/>
          <w:i w:val="0"/>
          <w:color w:val="365F91" w:themeColor="accent1" w:themeShade="BF"/>
          <w:u w:val="single"/>
        </w:rPr>
        <w:t xml:space="preserve">  </w:t>
      </w:r>
    </w:p>
    <w:p w:rsidR="00E40BB7" w:rsidRPr="00073842" w:rsidRDefault="00E40BB7" w:rsidP="00693933">
      <w:pPr>
        <w:pStyle w:val="NormalnyWeb"/>
        <w:jc w:val="both"/>
        <w:rPr>
          <w:rStyle w:val="Uwydatnienie"/>
          <w:rFonts w:ascii="Calibri" w:hAnsi="Calibri"/>
          <w:iCs w:val="0"/>
          <w:color w:val="365F91" w:themeColor="accent1" w:themeShade="BF"/>
        </w:rPr>
      </w:pPr>
      <w:r w:rsidRPr="00073842">
        <w:rPr>
          <w:rStyle w:val="Uwydatnienie"/>
          <w:rFonts w:ascii="Calibri" w:hAnsi="Calibri"/>
          <w:i w:val="0"/>
          <w:color w:val="365F91" w:themeColor="accent1" w:themeShade="BF"/>
        </w:rPr>
        <w:t xml:space="preserve">      Opłaty nie pobiera się w przypadku udostępnienia dokumentacji medycznej: </w:t>
      </w:r>
    </w:p>
    <w:p w:rsidR="00E40BB7" w:rsidRPr="00073842" w:rsidRDefault="00E40BB7" w:rsidP="00693933">
      <w:pPr>
        <w:pStyle w:val="NormalnyWeb"/>
        <w:ind w:left="360"/>
        <w:jc w:val="both"/>
        <w:rPr>
          <w:rStyle w:val="Uwydatnienie"/>
          <w:rFonts w:ascii="Calibri" w:hAnsi="Calibri"/>
          <w:i w:val="0"/>
          <w:color w:val="365F91" w:themeColor="accent1" w:themeShade="BF"/>
          <w:u w:val="single"/>
        </w:rPr>
      </w:pPr>
      <w:r w:rsidRPr="00073842">
        <w:rPr>
          <w:rStyle w:val="Uwydatnienie"/>
          <w:rFonts w:ascii="Calibri" w:hAnsi="Calibri"/>
          <w:i w:val="0"/>
          <w:color w:val="365F91" w:themeColor="accent1" w:themeShade="BF"/>
        </w:rPr>
        <w:t xml:space="preserve"> a) pacjentowi lub  jego przedstawicielowi ustawowemu </w:t>
      </w:r>
      <w:r w:rsidRPr="00073842">
        <w:rPr>
          <w:rStyle w:val="Uwydatnienie"/>
          <w:rFonts w:ascii="Calibri" w:hAnsi="Calibri"/>
          <w:i w:val="0"/>
          <w:color w:val="365F91" w:themeColor="accent1" w:themeShade="BF"/>
          <w:u w:val="single"/>
        </w:rPr>
        <w:t>po raz pierwszy;</w:t>
      </w:r>
    </w:p>
    <w:p w:rsidR="00E40BB7" w:rsidRPr="00073842" w:rsidRDefault="00E40BB7" w:rsidP="00693933">
      <w:pPr>
        <w:pStyle w:val="NormalnyWeb"/>
        <w:ind w:left="360"/>
        <w:jc w:val="both"/>
        <w:rPr>
          <w:rFonts w:ascii="Calibri" w:hAnsi="Calibri"/>
          <w:color w:val="365F91" w:themeColor="accent1" w:themeShade="BF"/>
          <w:shd w:val="clear" w:color="auto" w:fill="FFFFFF"/>
        </w:rPr>
      </w:pPr>
      <w:r w:rsidRPr="00073842">
        <w:rPr>
          <w:rStyle w:val="Uwydatnienie"/>
          <w:rFonts w:ascii="Calibri" w:hAnsi="Calibri"/>
          <w:i w:val="0"/>
          <w:color w:val="365F91" w:themeColor="accent1" w:themeShade="BF"/>
        </w:rPr>
        <w:t xml:space="preserve"> b) w</w:t>
      </w:r>
      <w:r w:rsidR="00693933">
        <w:rPr>
          <w:rStyle w:val="Uwydatnienie"/>
          <w:rFonts w:ascii="Calibri" w:hAnsi="Calibri"/>
          <w:i w:val="0"/>
          <w:color w:val="365F91" w:themeColor="accent1" w:themeShade="BF"/>
        </w:rPr>
        <w:t xml:space="preserve"> związku z postępowaniem przed Wojewódzką Komisją ds. orzekania o z</w:t>
      </w:r>
      <w:r w:rsidRPr="00073842">
        <w:rPr>
          <w:rStyle w:val="Uwydatnienie"/>
          <w:rFonts w:ascii="Calibri" w:hAnsi="Calibri"/>
          <w:i w:val="0"/>
          <w:color w:val="365F91" w:themeColor="accent1" w:themeShade="BF"/>
        </w:rPr>
        <w:t xml:space="preserve">darzeniach medycznych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oraz  w przypadku udostępniania jej Agencj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i Oceny Technologii Medycznych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i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Taryfikacji. </w:t>
      </w:r>
    </w:p>
    <w:p w:rsidR="00E40BB7" w:rsidRPr="00073842" w:rsidRDefault="00E40BB7" w:rsidP="00FF0FDF">
      <w:pPr>
        <w:pStyle w:val="NormalnyWeb"/>
        <w:spacing w:line="276" w:lineRule="auto"/>
        <w:ind w:left="360"/>
        <w:rPr>
          <w:rFonts w:ascii="Calibri" w:hAnsi="Calibri"/>
          <w:color w:val="365F91" w:themeColor="accent1" w:themeShade="BF"/>
          <w:shd w:val="clear" w:color="auto" w:fill="FFFFFF"/>
        </w:rPr>
      </w:pP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c) 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za udostępnienie dokumentacji </w:t>
      </w:r>
      <w:r w:rsidRPr="00073842">
        <w:rPr>
          <w:rFonts w:ascii="Calibri" w:hAnsi="Calibri"/>
          <w:color w:val="365F91" w:themeColor="accent1" w:themeShade="BF"/>
          <w:u w:val="single"/>
          <w:shd w:val="clear" w:color="auto" w:fill="FFFFFF"/>
        </w:rPr>
        <w:t>po raz kolejny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wysokość opłaty za:</w:t>
      </w:r>
      <w:r w:rsidRPr="00073842">
        <w:rPr>
          <w:rFonts w:ascii="Calibri" w:hAnsi="Calibri"/>
          <w:color w:val="365F91" w:themeColor="accent1" w:themeShade="BF"/>
        </w:rPr>
        <w:br/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- jedną stronę wyciągu albo odpisu dokument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>acji medycznej wynosi: 0.80zł.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>/str.</w:t>
      </w:r>
      <w:r w:rsidRPr="00073842">
        <w:rPr>
          <w:rFonts w:ascii="Calibri" w:hAnsi="Calibri"/>
          <w:color w:val="365F91" w:themeColor="accent1" w:themeShade="BF"/>
        </w:rPr>
        <w:br/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>- jedną stronę kopii albo wydruku doku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>mentacji medycznej  wynosi:</w:t>
      </w:r>
      <w:r w:rsidR="00693933">
        <w:rPr>
          <w:rFonts w:ascii="Calibri" w:hAnsi="Calibri"/>
          <w:color w:val="365F91" w:themeColor="accent1" w:themeShade="BF"/>
          <w:shd w:val="clear" w:color="auto" w:fill="FFFFFF"/>
        </w:rPr>
        <w:t xml:space="preserve"> 0.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>50.zł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>/str.</w:t>
      </w:r>
      <w:r w:rsidRPr="00073842">
        <w:rPr>
          <w:rFonts w:ascii="Calibri" w:hAnsi="Calibri"/>
          <w:color w:val="365F91" w:themeColor="accent1" w:themeShade="BF"/>
        </w:rPr>
        <w:br/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>-   udostępnienie dokumentacji medycznej na i</w:t>
      </w:r>
      <w:r w:rsidR="00CD3ABF" w:rsidRPr="00073842">
        <w:rPr>
          <w:rFonts w:ascii="Calibri" w:hAnsi="Calibri"/>
          <w:color w:val="365F91" w:themeColor="accent1" w:themeShade="BF"/>
          <w:shd w:val="clear" w:color="auto" w:fill="FFFFFF"/>
        </w:rPr>
        <w:t xml:space="preserve">nformatycznym nośniku danych: </w:t>
      </w:r>
      <w:r w:rsidRPr="00073842">
        <w:rPr>
          <w:rFonts w:ascii="Calibri" w:hAnsi="Calibri"/>
          <w:color w:val="365F91" w:themeColor="accent1" w:themeShade="BF"/>
          <w:shd w:val="clear" w:color="auto" w:fill="FFFFFF"/>
        </w:rPr>
        <w:t>7 zł.</w:t>
      </w:r>
    </w:p>
    <w:p w:rsidR="00E40BB7" w:rsidRPr="00073842" w:rsidRDefault="00E40BB7" w:rsidP="00FF0FDF">
      <w:pPr>
        <w:spacing w:after="0"/>
        <w:ind w:left="340" w:hanging="340"/>
        <w:jc w:val="both"/>
        <w:outlineLvl w:val="2"/>
        <w:rPr>
          <w:rFonts w:ascii="Calibri" w:eastAsia="Times New Roman" w:hAnsi="Calibri" w:cstheme="minorHAnsi"/>
          <w:b/>
          <w:bCs/>
          <w:color w:val="365F91" w:themeColor="accent1" w:themeShade="BF"/>
          <w:sz w:val="24"/>
          <w:szCs w:val="24"/>
          <w:lang w:eastAsia="pl-PL"/>
        </w:rPr>
      </w:pPr>
      <w:r w:rsidRPr="00073842">
        <w:rPr>
          <w:rFonts w:ascii="Calibri" w:eastAsia="Times New Roman" w:hAnsi="Calibri" w:cstheme="minorHAnsi"/>
          <w:b/>
          <w:bCs/>
          <w:color w:val="365F91" w:themeColor="accent1" w:themeShade="BF"/>
          <w:sz w:val="24"/>
          <w:szCs w:val="24"/>
          <w:lang w:eastAsia="pl-PL"/>
        </w:rPr>
        <w:t xml:space="preserve">5. </w:t>
      </w:r>
      <w:r w:rsidR="00E62080">
        <w:rPr>
          <w:rFonts w:ascii="Calibri" w:eastAsia="Times New Roman" w:hAnsi="Calibri" w:cstheme="minorHAnsi"/>
          <w:b/>
          <w:bCs/>
          <w:color w:val="365F91" w:themeColor="accent1" w:themeShade="BF"/>
          <w:sz w:val="24"/>
          <w:szCs w:val="24"/>
          <w:lang w:eastAsia="pl-PL"/>
        </w:rPr>
        <w:t xml:space="preserve"> </w:t>
      </w:r>
      <w:r w:rsidRPr="00073842">
        <w:rPr>
          <w:rFonts w:ascii="Calibri" w:eastAsia="Times New Roman" w:hAnsi="Calibri" w:cstheme="minorHAnsi"/>
          <w:b/>
          <w:bCs/>
          <w:color w:val="365F91" w:themeColor="accent1" w:themeShade="BF"/>
          <w:sz w:val="24"/>
          <w:szCs w:val="24"/>
          <w:u w:val="single"/>
          <w:lang w:eastAsia="pl-PL"/>
        </w:rPr>
        <w:t xml:space="preserve">Wysokość </w:t>
      </w:r>
      <w:r w:rsidR="00CD3ABF" w:rsidRPr="00073842">
        <w:rPr>
          <w:rFonts w:ascii="Calibri" w:eastAsia="Times New Roman" w:hAnsi="Calibri" w:cstheme="minorHAnsi"/>
          <w:b/>
          <w:bCs/>
          <w:color w:val="365F91" w:themeColor="accent1" w:themeShade="BF"/>
          <w:sz w:val="24"/>
          <w:szCs w:val="24"/>
          <w:u w:val="single"/>
          <w:lang w:eastAsia="pl-PL"/>
        </w:rPr>
        <w:t>opłat</w:t>
      </w:r>
      <w:r w:rsidRPr="00073842">
        <w:rPr>
          <w:rFonts w:ascii="Calibri" w:eastAsia="Times New Roman" w:hAnsi="Calibri" w:cstheme="minorHAnsi"/>
          <w:b/>
          <w:bCs/>
          <w:color w:val="365F91" w:themeColor="accent1" w:themeShade="BF"/>
          <w:sz w:val="24"/>
          <w:szCs w:val="24"/>
          <w:u w:val="single"/>
          <w:lang w:eastAsia="pl-PL"/>
        </w:rPr>
        <w:t xml:space="preserve"> za przechowywanie zwłok pacjenta przez okres dłuższy niż 72 godziny:</w:t>
      </w:r>
    </w:p>
    <w:p w:rsidR="0043573C" w:rsidRDefault="00CA53EE" w:rsidP="00FF0FDF">
      <w:pPr>
        <w:spacing w:after="0"/>
        <w:ind w:left="340" w:hanging="340"/>
        <w:jc w:val="both"/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</w:pPr>
      <w:r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     </w:t>
      </w:r>
      <w:r w:rsidR="00A42F9A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Zakład </w:t>
      </w:r>
      <w:r w:rsidR="00A42F9A" w:rsidRPr="00693933">
        <w:rPr>
          <w:rFonts w:ascii="Calibri" w:eastAsia="Times New Roman" w:hAnsi="Calibri" w:cstheme="minorHAnsi"/>
          <w:color w:val="365F91" w:themeColor="accent1" w:themeShade="BF"/>
          <w:sz w:val="24"/>
          <w:szCs w:val="24"/>
          <w:u w:val="single"/>
          <w:lang w:eastAsia="pl-PL"/>
        </w:rPr>
        <w:t xml:space="preserve">nie posiada </w:t>
      </w:r>
      <w:r w:rsidR="00E40BB7" w:rsidRPr="00693933">
        <w:rPr>
          <w:rFonts w:ascii="Calibri" w:eastAsia="Times New Roman" w:hAnsi="Calibri" w:cstheme="minorHAnsi"/>
          <w:color w:val="365F91" w:themeColor="accent1" w:themeShade="BF"/>
          <w:sz w:val="24"/>
          <w:szCs w:val="24"/>
          <w:u w:val="single"/>
          <w:lang w:eastAsia="pl-PL"/>
        </w:rPr>
        <w:t>chłodni</w:t>
      </w:r>
      <w:r w:rsidR="00E40BB7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do przechowywania zwłok i tym samym nie zapewnia ich     </w:t>
      </w:r>
      <w:r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 </w:t>
      </w:r>
      <w:r w:rsidR="00E40BB7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>przechowywania poza czasem niezbędnym do załatwiania formalności w zakładzie pogrzebowym.</w:t>
      </w:r>
      <w:r w:rsidR="00CD3ABF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</w:t>
      </w:r>
    </w:p>
    <w:p w:rsidR="00A42F9A" w:rsidRPr="00073842" w:rsidRDefault="0043573C" w:rsidP="00FF0FDF">
      <w:pPr>
        <w:spacing w:after="0"/>
        <w:ind w:left="340" w:hanging="340"/>
        <w:jc w:val="both"/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</w:pPr>
      <w:r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    Wysokość opłaty za przechowywanie zwłok pacjenta przez okres dłuższy niż 72 godz. od osób lub instytucji uprawnionych do pochowania zwłok </w:t>
      </w:r>
      <w:r w:rsidR="00E62080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pacjenta </w:t>
      </w:r>
      <w:r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- na podstawie  informacji uzyskanej w </w:t>
      </w:r>
      <w:r w:rsidR="00CD3ABF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693933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Zakładzie Pogrzebowym </w:t>
      </w:r>
      <w:r w:rsidR="00CD3ABF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>MPUK</w:t>
      </w:r>
      <w:r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693933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- wynosi </w:t>
      </w:r>
      <w:r w:rsidR="00CD3ABF" w:rsidRPr="00073842">
        <w:rPr>
          <w:rFonts w:ascii="Calibri" w:eastAsia="Times New Roman" w:hAnsi="Calibri" w:cstheme="minorHAnsi"/>
          <w:color w:val="365F91" w:themeColor="accent1" w:themeShade="BF"/>
          <w:sz w:val="24"/>
          <w:szCs w:val="24"/>
          <w:lang w:eastAsia="pl-PL"/>
        </w:rPr>
        <w:t xml:space="preserve">59.40 zł /dobę.  </w:t>
      </w:r>
      <w:bookmarkStart w:id="0" w:name="_GoBack"/>
      <w:bookmarkEnd w:id="0"/>
    </w:p>
    <w:sectPr w:rsidR="00A42F9A" w:rsidRPr="00073842" w:rsidSect="00E40BB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35"/>
    <w:multiLevelType w:val="hybridMultilevel"/>
    <w:tmpl w:val="2342E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4CB"/>
    <w:multiLevelType w:val="hybridMultilevel"/>
    <w:tmpl w:val="1F96123E"/>
    <w:lvl w:ilvl="0" w:tplc="FA646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041"/>
    <w:multiLevelType w:val="hybridMultilevel"/>
    <w:tmpl w:val="B622EF3E"/>
    <w:lvl w:ilvl="0" w:tplc="0415000F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F3"/>
    <w:rsid w:val="00020335"/>
    <w:rsid w:val="00073842"/>
    <w:rsid w:val="0043573C"/>
    <w:rsid w:val="005D5792"/>
    <w:rsid w:val="00693933"/>
    <w:rsid w:val="008D73DF"/>
    <w:rsid w:val="00A42F9A"/>
    <w:rsid w:val="00BA64F3"/>
    <w:rsid w:val="00CA53EE"/>
    <w:rsid w:val="00CD3ABF"/>
    <w:rsid w:val="00E40BB7"/>
    <w:rsid w:val="00E62080"/>
    <w:rsid w:val="00EF783A"/>
    <w:rsid w:val="00F70691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4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42F9A"/>
    <w:rPr>
      <w:b/>
      <w:bCs/>
    </w:rPr>
  </w:style>
  <w:style w:type="paragraph" w:styleId="Akapitzlist">
    <w:name w:val="List Paragraph"/>
    <w:basedOn w:val="Normalny"/>
    <w:uiPriority w:val="34"/>
    <w:qFormat/>
    <w:rsid w:val="00A42F9A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4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42F9A"/>
    <w:rPr>
      <w:b/>
      <w:bCs/>
    </w:rPr>
  </w:style>
  <w:style w:type="paragraph" w:styleId="Akapitzlist">
    <w:name w:val="List Paragraph"/>
    <w:basedOn w:val="Normalny"/>
    <w:uiPriority w:val="34"/>
    <w:qFormat/>
    <w:rsid w:val="00A42F9A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F7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Świetlikowska</dc:creator>
  <cp:lastModifiedBy>Barbara Czarnocka</cp:lastModifiedBy>
  <cp:revision>4</cp:revision>
  <cp:lastPrinted>2020-09-22T06:55:00Z</cp:lastPrinted>
  <dcterms:created xsi:type="dcterms:W3CDTF">2020-09-22T14:17:00Z</dcterms:created>
  <dcterms:modified xsi:type="dcterms:W3CDTF">2020-09-22T14:24:00Z</dcterms:modified>
</cp:coreProperties>
</file>